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830F3" w14:textId="77777777" w:rsidR="0033411A" w:rsidRDefault="00000000">
      <w:pPr>
        <w:spacing w:after="0" w:line="259" w:lineRule="auto"/>
        <w:ind w:left="-2" w:firstLine="0"/>
        <w:jc w:val="left"/>
      </w:pPr>
      <w:r>
        <w:rPr>
          <w:noProof/>
        </w:rPr>
        <w:drawing>
          <wp:inline distT="0" distB="0" distL="0" distR="0" wp14:anchorId="55BBE178" wp14:editId="23C59E80">
            <wp:extent cx="1691640" cy="743712"/>
            <wp:effectExtent l="0" t="0" r="0" b="0"/>
            <wp:docPr id="4061" name="Picture 4061"/>
            <wp:cNvGraphicFramePr/>
            <a:graphic xmlns:a="http://schemas.openxmlformats.org/drawingml/2006/main">
              <a:graphicData uri="http://schemas.openxmlformats.org/drawingml/2006/picture">
                <pic:pic xmlns:pic="http://schemas.openxmlformats.org/drawingml/2006/picture">
                  <pic:nvPicPr>
                    <pic:cNvPr id="4061" name="Picture 4061"/>
                    <pic:cNvPicPr/>
                  </pic:nvPicPr>
                  <pic:blipFill>
                    <a:blip r:embed="rId6"/>
                    <a:stretch>
                      <a:fillRect/>
                    </a:stretch>
                  </pic:blipFill>
                  <pic:spPr>
                    <a:xfrm>
                      <a:off x="0" y="0"/>
                      <a:ext cx="1691640" cy="743712"/>
                    </a:xfrm>
                    <a:prstGeom prst="rect">
                      <a:avLst/>
                    </a:prstGeom>
                  </pic:spPr>
                </pic:pic>
              </a:graphicData>
            </a:graphic>
          </wp:inline>
        </w:drawing>
      </w:r>
    </w:p>
    <w:p w14:paraId="076AA210" w14:textId="77777777" w:rsidR="0033411A" w:rsidRDefault="00000000">
      <w:pPr>
        <w:spacing w:after="470" w:line="259" w:lineRule="auto"/>
        <w:ind w:left="2654" w:firstLine="0"/>
        <w:jc w:val="left"/>
      </w:pPr>
      <w:r>
        <w:t xml:space="preserve"> </w:t>
      </w:r>
    </w:p>
    <w:p w14:paraId="20D7F3BD" w14:textId="77777777" w:rsidR="0033411A" w:rsidRDefault="00000000">
      <w:pPr>
        <w:spacing w:after="38" w:line="259" w:lineRule="auto"/>
        <w:ind w:left="2047" w:firstLine="0"/>
        <w:jc w:val="left"/>
      </w:pPr>
      <w:r>
        <w:rPr>
          <w:color w:val="1EABB1"/>
          <w:sz w:val="49"/>
        </w:rPr>
        <w:t xml:space="preserve"> </w:t>
      </w:r>
    </w:p>
    <w:p w14:paraId="17AE6EC8" w14:textId="77777777" w:rsidR="0033411A" w:rsidRDefault="00000000">
      <w:pPr>
        <w:spacing w:after="161" w:line="259" w:lineRule="auto"/>
        <w:ind w:left="107" w:firstLine="0"/>
        <w:jc w:val="center"/>
      </w:pPr>
      <w:r>
        <w:rPr>
          <w:color w:val="60B3C3"/>
          <w:sz w:val="47"/>
        </w:rPr>
        <w:t xml:space="preserve"> </w:t>
      </w:r>
    </w:p>
    <w:p w14:paraId="19DCAF52" w14:textId="77777777" w:rsidR="0033411A" w:rsidRDefault="00000000">
      <w:pPr>
        <w:spacing w:after="122" w:line="259" w:lineRule="auto"/>
        <w:ind w:left="97" w:firstLine="0"/>
        <w:jc w:val="center"/>
      </w:pPr>
      <w:r>
        <w:rPr>
          <w:color w:val="60B3C3"/>
          <w:sz w:val="47"/>
        </w:rPr>
        <w:t xml:space="preserve"> </w:t>
      </w:r>
    </w:p>
    <w:p w14:paraId="423EAD43" w14:textId="77777777" w:rsidR="0033411A" w:rsidRDefault="00000000">
      <w:pPr>
        <w:pStyle w:val="Ttulo1"/>
        <w:ind w:left="2616"/>
      </w:pPr>
      <w:r>
        <w:t xml:space="preserve">INSTITUTO DE FORMACIÓN PROFESIONAL INDUSTRIAL Y TECNOLÓGICO EL GORO, </w:t>
      </w:r>
    </w:p>
    <w:p w14:paraId="7989C053" w14:textId="77777777" w:rsidR="0033411A" w:rsidRDefault="00000000">
      <w:pPr>
        <w:spacing w:after="2" w:line="259" w:lineRule="auto"/>
        <w:ind w:left="2616"/>
        <w:jc w:val="left"/>
      </w:pPr>
      <w:r>
        <w:rPr>
          <w:color w:val="60B3C3"/>
          <w:sz w:val="47"/>
        </w:rPr>
        <w:t>S.L.</w:t>
      </w:r>
      <w:r>
        <w:rPr>
          <w:color w:val="60B3C3"/>
        </w:rPr>
        <w:t xml:space="preserve"> </w:t>
      </w:r>
    </w:p>
    <w:p w14:paraId="34A419F4" w14:textId="77777777" w:rsidR="0033411A" w:rsidRDefault="00000000">
      <w:pPr>
        <w:spacing w:after="138" w:line="259" w:lineRule="auto"/>
        <w:ind w:left="2621" w:firstLine="0"/>
        <w:jc w:val="left"/>
      </w:pPr>
      <w:r>
        <w:rPr>
          <w:color w:val="60B3C3"/>
        </w:rPr>
        <w:t xml:space="preserve"> </w:t>
      </w:r>
    </w:p>
    <w:p w14:paraId="16846B67" w14:textId="77777777" w:rsidR="0033411A" w:rsidRDefault="00000000">
      <w:pPr>
        <w:spacing w:after="0" w:line="259" w:lineRule="auto"/>
        <w:ind w:left="2616"/>
        <w:jc w:val="left"/>
      </w:pPr>
      <w:r>
        <w:rPr>
          <w:color w:val="60B3C3"/>
          <w:sz w:val="23"/>
        </w:rPr>
        <w:t xml:space="preserve">Informe de auditoría  </w:t>
      </w:r>
    </w:p>
    <w:p w14:paraId="71190603" w14:textId="77777777" w:rsidR="0033411A" w:rsidRDefault="00000000">
      <w:pPr>
        <w:spacing w:after="0" w:line="259" w:lineRule="auto"/>
        <w:ind w:left="2616"/>
        <w:jc w:val="left"/>
      </w:pPr>
      <w:r>
        <w:rPr>
          <w:color w:val="60B3C3"/>
          <w:sz w:val="23"/>
        </w:rPr>
        <w:t xml:space="preserve">Cuentas anuales al 31 de diciembre de 2025 </w:t>
      </w:r>
    </w:p>
    <w:p w14:paraId="680898C0" w14:textId="77777777" w:rsidR="0033411A" w:rsidRDefault="00000000">
      <w:pPr>
        <w:spacing w:after="0" w:line="259" w:lineRule="auto"/>
        <w:ind w:left="0" w:firstLine="0"/>
        <w:jc w:val="left"/>
      </w:pPr>
      <w:r>
        <w:t xml:space="preserve"> </w:t>
      </w:r>
      <w:r>
        <w:br w:type="page"/>
      </w:r>
    </w:p>
    <w:p w14:paraId="2CD8DABD" w14:textId="77777777" w:rsidR="0033411A" w:rsidRDefault="00000000">
      <w:pPr>
        <w:spacing w:after="235" w:line="256" w:lineRule="auto"/>
        <w:ind w:left="0" w:firstLine="0"/>
        <w:jc w:val="center"/>
      </w:pPr>
      <w:r>
        <w:lastRenderedPageBreak/>
        <w:t xml:space="preserve">INFORME DE AUDITORÍA DE CUENTAS ANUALES DE PYMES DE PYMES EMITIDO POR UN AUDITOR INDEPENDIENTE </w:t>
      </w:r>
    </w:p>
    <w:p w14:paraId="164C4819" w14:textId="77777777" w:rsidR="0033411A" w:rsidRDefault="00000000">
      <w:pPr>
        <w:ind w:left="-5"/>
      </w:pPr>
      <w:r>
        <w:t xml:space="preserve">A la Administradora Única de Instituto de Formación Profesional Industrial y Tecnológico El Goro, S.L.: </w:t>
      </w:r>
    </w:p>
    <w:p w14:paraId="0776ACD8" w14:textId="77777777" w:rsidR="0033411A" w:rsidRDefault="00000000">
      <w:pPr>
        <w:spacing w:after="231" w:line="259" w:lineRule="auto"/>
        <w:ind w:left="-5"/>
        <w:jc w:val="left"/>
      </w:pPr>
      <w:r>
        <w:t xml:space="preserve">Opinión  </w:t>
      </w:r>
    </w:p>
    <w:p w14:paraId="6ED19210" w14:textId="77777777" w:rsidR="0033411A" w:rsidRDefault="00000000">
      <w:pPr>
        <w:ind w:left="-5"/>
      </w:pPr>
      <w:r>
        <w:t xml:space="preserve">Hemos auditado las cuentas anuales de pymes de Instituto de Formación Profesional Industrial y Tecnológico El Goro, S.L., (la Sociedad), que comprenden el balance a 31 de diciembre de 2025, la cuenta de pérdidas y ganancias, y la memoria, todos ellos de pymes, correspondientes al ejercicio terminado en dicha fecha.  </w:t>
      </w:r>
    </w:p>
    <w:p w14:paraId="78DD6778" w14:textId="77777777" w:rsidR="0033411A" w:rsidRDefault="00000000">
      <w:pPr>
        <w:ind w:left="-5"/>
      </w:pPr>
      <w:r>
        <w:t xml:space="preserve">En nuestra opinión, las cuentas anuales de pymes adjuntas expresan, en todos los aspectos significativos, la imagen fiel del patrimonio y de la situación financiera de la Sociedad a 31 de diciembre de 2025, así como de sus resultados correspondientes al ejercicio terminado en dicha fecha, de conformidad con el marco normativo de información financiera que resulta de aplicación (que se identifica en la nota 2 de la memoria) y, en particular, con los principios y criterios contables contenidos en el mismo. </w:t>
      </w:r>
    </w:p>
    <w:p w14:paraId="60D769F1" w14:textId="77777777" w:rsidR="0033411A" w:rsidRDefault="00000000">
      <w:pPr>
        <w:spacing w:after="231" w:line="259" w:lineRule="auto"/>
        <w:ind w:left="-5"/>
        <w:jc w:val="left"/>
      </w:pPr>
      <w:r>
        <w:t xml:space="preserve">Fundamento de la opinión  </w:t>
      </w:r>
    </w:p>
    <w:p w14:paraId="43082C6D" w14:textId="77777777" w:rsidR="0033411A" w:rsidRDefault="00000000">
      <w:pPr>
        <w:ind w:left="-5"/>
      </w:pPr>
      <w:r>
        <w:t xml:space="preserve">Hemos llevado a cabo nuestra auditoría de conformidad con la normativa reguladora de la actividad de auditoría de cuentas vigente en España. Nuestras responsabilidades de acuerdo con dichas normas se describen más adelante en la sección Responsabilidades del auditor en relación con la auditoría de las cuentas anuales de pymes de nuestro informe.  </w:t>
      </w:r>
    </w:p>
    <w:p w14:paraId="2B9D1E53" w14:textId="77777777" w:rsidR="0033411A" w:rsidRDefault="00000000">
      <w:pPr>
        <w:ind w:left="-5"/>
      </w:pPr>
      <w:r>
        <w:t xml:space="preserve">Somos independientes de la Sociedad de conformidad con los requerimientos de ética, incluidos los de independencia, que son aplicables a nuestra auditoría de las cuentas anuales en España según lo exigido por la normativa reguladora de la actividad de auditoría de cuentas. En este sentido, no hemos prestado servicios distintos a los de la auditoría de cuentas ni han concurrido situaciones o circunstancias que, de acuerdo con lo establecido en la citada normativa reguladora, hayan afectado a la necesaria independencia de modo que se haya visto comprometida.  </w:t>
      </w:r>
    </w:p>
    <w:p w14:paraId="45A12FFE" w14:textId="77777777" w:rsidR="0033411A" w:rsidRDefault="00000000">
      <w:pPr>
        <w:ind w:left="-5"/>
      </w:pPr>
      <w:r>
        <w:t xml:space="preserve">Consideramos que la evidencia de auditoría que hemos obtenido proporciona una base suficiente y adecuada para nuestra opinión. </w:t>
      </w:r>
    </w:p>
    <w:p w14:paraId="53BAF4F2" w14:textId="77777777" w:rsidR="0033411A" w:rsidRDefault="00000000">
      <w:pPr>
        <w:spacing w:after="231" w:line="259" w:lineRule="auto"/>
        <w:ind w:left="-5"/>
        <w:jc w:val="left"/>
      </w:pPr>
      <w:r>
        <w:t xml:space="preserve">Aspectos más relevantes de la auditoría  </w:t>
      </w:r>
    </w:p>
    <w:p w14:paraId="4653C14E" w14:textId="77777777" w:rsidR="0033411A" w:rsidRDefault="00000000">
      <w:pPr>
        <w:ind w:left="-5"/>
      </w:pPr>
      <w:r>
        <w:t xml:space="preserve">Los aspectos más relevantes de la auditoría son aquellos que, según nuestro juicio profesional, han sido considerados como los riesgos de incorrección material más significativos en nuestra auditoría de las cuentas anuales de pymes del periodo actual. Estos riesgos han sido tratados en el contexto de nuestra auditoría de las cuentas anuales en su conjunto, y en la formación de nuestra opinión sobre éstas, y no expresamos una opinión por separado sobre esos riesgos.  </w:t>
      </w:r>
    </w:p>
    <w:p w14:paraId="162B9B90" w14:textId="77777777" w:rsidR="0033411A" w:rsidRDefault="00000000">
      <w:pPr>
        <w:ind w:left="-5"/>
      </w:pPr>
      <w:r>
        <w:t xml:space="preserve">Reconocimiento de las subvenciones recibidas </w:t>
      </w:r>
    </w:p>
    <w:p w14:paraId="21FBAF11" w14:textId="77777777" w:rsidR="0033411A" w:rsidRDefault="00000000">
      <w:pPr>
        <w:spacing w:after="165"/>
        <w:ind w:left="-5"/>
      </w:pPr>
      <w:r>
        <w:t xml:space="preserve">La Sociedad recibe diversas subvenciones para sus actividades de distintas entidades públicas. Hemos considerado que la imputación a ingresos de las citadas subvenciones supone un riesgo de nuestra </w:t>
      </w:r>
      <w:r>
        <w:lastRenderedPageBreak/>
        <w:t xml:space="preserve">auditoría, al tratarse de importes significativos para la Sociedad, en tanto que la determinación del excedente del ejercicio depende en gran medida de este aspecto. </w:t>
      </w:r>
    </w:p>
    <w:p w14:paraId="4F77EB27" w14:textId="77777777" w:rsidR="0033411A" w:rsidRDefault="00000000">
      <w:pPr>
        <w:spacing w:after="168"/>
        <w:ind w:left="-5"/>
      </w:pPr>
      <w:r>
        <w:t xml:space="preserve">En respuesta a dicho riesgo significativo, hemos conocido los controles que la Sociedad tiene diseñados y realizado pruebas analíticas y de detalle, para asegurarnos que la imputación a ingresos de las distintas subvenciones </w:t>
      </w:r>
      <w:proofErr w:type="gramStart"/>
      <w:r>
        <w:t>recibidas,</w:t>
      </w:r>
      <w:proofErr w:type="gramEnd"/>
      <w:r>
        <w:t xml:space="preserve"> sea coherente y proporcional con el grado de ejecución durante el ejercicio del presupuesto de gastos de cada expediente de subvención. </w:t>
      </w:r>
    </w:p>
    <w:p w14:paraId="4685180D" w14:textId="77777777" w:rsidR="0033411A" w:rsidRDefault="00000000">
      <w:pPr>
        <w:spacing w:after="231" w:line="259" w:lineRule="auto"/>
        <w:ind w:left="-5"/>
        <w:jc w:val="left"/>
      </w:pPr>
      <w:r>
        <w:t xml:space="preserve">Responsabilidad de la administradora única en relación con las cuentas anuales de pymes </w:t>
      </w:r>
    </w:p>
    <w:p w14:paraId="7AF87F3D" w14:textId="77777777" w:rsidR="0033411A" w:rsidRDefault="00000000">
      <w:pPr>
        <w:ind w:left="-5"/>
      </w:pPr>
      <w:r>
        <w:t xml:space="preserve">La administradora única es responsable de formular las cuentas anuales de pymes adjuntas, de forma que expresen la imagen fiel del patrimonio, de la situación financiera y de los resultados de la Sociedad, de conformidad con el marco normativo de información financiera aplicable a la entidad en España, y del control interno que consideren necesario para permitir la preparación de cuentas anuales de pymes libres de incorrección material, debida a fraude o error.  </w:t>
      </w:r>
    </w:p>
    <w:p w14:paraId="2A36432B" w14:textId="77777777" w:rsidR="0033411A" w:rsidRDefault="00000000">
      <w:pPr>
        <w:ind w:left="-5"/>
      </w:pPr>
      <w:r>
        <w:t xml:space="preserve">En la preparación de las cuentas anuales de pymes, la administradora única es responsable de la valoración de la capacidad de la Sociedad para continuar como empresa en funcionamiento, revelando, según corresponda, las cuestiones relacionadas con la empresa en funcionamiento y utilizando el principio contable de empresa en funcionamiento excepto si la administradora única tiene intención de liquidar la sociedad o de cesar sus operaciones, o bien no exista otra alternativa realista. </w:t>
      </w:r>
    </w:p>
    <w:p w14:paraId="7EBB93C5" w14:textId="77777777" w:rsidR="0033411A" w:rsidRDefault="00000000">
      <w:pPr>
        <w:spacing w:after="231" w:line="259" w:lineRule="auto"/>
        <w:ind w:left="-5"/>
        <w:jc w:val="left"/>
      </w:pPr>
      <w:r>
        <w:t xml:space="preserve">Responsabilidades del auditor en relación con la auditoría de las cuentas anuales de pymes  </w:t>
      </w:r>
    </w:p>
    <w:p w14:paraId="7D20F3E2" w14:textId="77777777" w:rsidR="0033411A" w:rsidRDefault="00000000">
      <w:pPr>
        <w:ind w:left="-5"/>
      </w:pPr>
      <w:r>
        <w:t xml:space="preserve">Nuestros objetivos son obtener una seguridad razonable de que las cuentas anuales de pymes en su conjunto están libres de incorrección material, debida a fraude o error, y emitir un informe de auditoría que contiene nuestra opinión. Seguridad razonable es un alto grado de seguridad, pero no garantiza que una auditoría realizada de conformidad con la normativa reguladora de la actividad de auditoría de cuentas vigente en España siempre detecte una incorrección material cuando existe. Las incorrecciones pueden deberse a fraude o error y se consideran materiales si, individualmente o de forma agregada, puede preverse razonablemente que influyan en las decisiones económicas que los usuarios toman basándose en las cuentas anuales de pymes.  </w:t>
      </w:r>
    </w:p>
    <w:p w14:paraId="74392719" w14:textId="77777777" w:rsidR="0033411A" w:rsidRDefault="00000000">
      <w:pPr>
        <w:spacing w:after="186"/>
        <w:ind w:left="-5"/>
      </w:pPr>
      <w:r>
        <w:t xml:space="preserve">Como parte de una auditoría de conformidad con la normativa reguladora de la actividad de auditoría de cuentas en España, aplicamos nuestro juicio profesional y mantenemos una actitud de escepticismo profesional durante toda la auditoría. También:  </w:t>
      </w:r>
    </w:p>
    <w:p w14:paraId="4F9DEFFA" w14:textId="77777777" w:rsidR="0033411A" w:rsidRDefault="00000000">
      <w:pPr>
        <w:ind w:left="552" w:hanging="405"/>
      </w:pPr>
      <w:r>
        <w:rPr>
          <w:rFonts w:ascii="Calibri" w:eastAsia="Calibri" w:hAnsi="Calibri" w:cs="Calibri"/>
          <w:noProof/>
          <w:sz w:val="22"/>
        </w:rPr>
        <mc:AlternateContent>
          <mc:Choice Requires="wpg">
            <w:drawing>
              <wp:inline distT="0" distB="0" distL="0" distR="0" wp14:anchorId="6F5E492C" wp14:editId="0F2A116D">
                <wp:extent cx="48829" cy="48829"/>
                <wp:effectExtent l="0" t="0" r="0" b="0"/>
                <wp:docPr id="3605" name="Group 3605"/>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157" name="Shape 157"/>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5"/>
                                </a:cubicBezTo>
                                <a:cubicBezTo>
                                  <a:pt x="48648" y="31377"/>
                                  <a:pt x="46252" y="37142"/>
                                  <a:pt x="41640" y="41708"/>
                                </a:cubicBezTo>
                                <a:cubicBezTo>
                                  <a:pt x="37029" y="46275"/>
                                  <a:pt x="31287" y="48648"/>
                                  <a:pt x="24414" y="48829"/>
                                </a:cubicBezTo>
                                <a:cubicBezTo>
                                  <a:pt x="17452" y="48738"/>
                                  <a:pt x="11687" y="46387"/>
                                  <a:pt x="7121" y="41776"/>
                                </a:cubicBezTo>
                                <a:cubicBezTo>
                                  <a:pt x="2554" y="37164"/>
                                  <a:pt x="181" y="31377"/>
                                  <a:pt x="0" y="24415"/>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05" style="width:3.8448pt;height:3.84479pt;mso-position-horizontal-relative:char;mso-position-vertical-relative:line" coordsize="488,488">
                <v:shape id="Shape 157" style="position:absolute;width:488;height:488;left:0;top:0;" coordsize="48829,48829" path="m24414,0c31287,181,37029,2577,41640,7189c46252,11800,48648,17542,48829,24415c48648,31377,46252,37142,41640,41708c37029,46275,31287,48648,24414,48829c17452,48738,11687,46387,7121,41776c2554,37164,181,31377,0,24415c90,17542,2442,11800,7053,7189c11665,2577,17452,181,24414,0x">
                  <v:stroke weight="0pt" endcap="flat" joinstyle="miter" miterlimit="10" on="false" color="#000000" opacity="0"/>
                  <v:fill on="true" color="#000000"/>
                </v:shape>
              </v:group>
            </w:pict>
          </mc:Fallback>
        </mc:AlternateContent>
      </w:r>
      <w:r>
        <w:t xml:space="preserve"> Identificamos y valoramos los riesgos de incorrección material en las cuentas anuales de pymes, debida a fraude o error, diseñamos y aplicamos procedimientos de auditoría para responder a dichos riesgos y obtenemos evidencia de auditoría suficiente y adecuada para proporcionar una base para nuestra opinión. El riesgo de no detectar una incorrección material debida a fraude es más elevado que en el caso de una incorrección material debida a error, ya que el fraude puede implicar colusión, falsificación, omisiones deliberadas, manifestaciones intencionadamente erróneas, o la elusión del control interno. </w:t>
      </w:r>
    </w:p>
    <w:p w14:paraId="790C3A6F" w14:textId="77777777" w:rsidR="0033411A" w:rsidRDefault="00000000">
      <w:pPr>
        <w:spacing w:after="0"/>
        <w:ind w:left="552" w:hanging="405"/>
      </w:pPr>
      <w:r>
        <w:rPr>
          <w:rFonts w:ascii="Calibri" w:eastAsia="Calibri" w:hAnsi="Calibri" w:cs="Calibri"/>
          <w:noProof/>
          <w:sz w:val="22"/>
        </w:rPr>
        <mc:AlternateContent>
          <mc:Choice Requires="wpg">
            <w:drawing>
              <wp:inline distT="0" distB="0" distL="0" distR="0" wp14:anchorId="5BEB4090" wp14:editId="6B18B677">
                <wp:extent cx="48829" cy="48829"/>
                <wp:effectExtent l="0" t="0" r="0" b="0"/>
                <wp:docPr id="3846" name="Group 3846"/>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186" name="Shape 186"/>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5"/>
                                  <a:pt x="31287" y="48648"/>
                                  <a:pt x="24414" y="48829"/>
                                </a:cubicBezTo>
                                <a:cubicBezTo>
                                  <a:pt x="17452" y="48739"/>
                                  <a:pt x="11687" y="46388"/>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46" style="width:3.8448pt;height:3.8448pt;mso-position-horizontal-relative:char;mso-position-vertical-relative:line" coordsize="488,488">
                <v:shape id="Shape 186" style="position:absolute;width:488;height:488;left:0;top:0;" coordsize="48829,48829" path="m24414,0c31287,181,37029,2577,41640,7189c46252,11800,48648,17542,48829,24414c48648,31377,46252,37142,41640,41708c37029,46275,31287,48648,24414,48829c17452,48739,11687,46388,7121,41776c2554,37164,181,31377,0,24414c90,17542,2442,11800,7053,7189c11665,2577,17452,181,24414,0x">
                  <v:stroke weight="0pt" endcap="flat" joinstyle="miter" miterlimit="10" on="false" color="#000000" opacity="0"/>
                  <v:fill on="true" color="#000000"/>
                </v:shape>
              </v:group>
            </w:pict>
          </mc:Fallback>
        </mc:AlternateContent>
      </w:r>
      <w:r>
        <w:t xml:space="preserve"> Obtenemos conocimiento del control interno relevante para la auditoría con el fin de diseñar procedimientos de auditoría que sean adecuados en función de las circunstancias, y no con la finalidad de expresar una opinión sobre la eficacia del control interno de la entidad.  </w:t>
      </w:r>
    </w:p>
    <w:p w14:paraId="652AB4C0" w14:textId="77777777" w:rsidR="0033411A" w:rsidRDefault="00000000">
      <w:pPr>
        <w:spacing w:after="2" w:line="259" w:lineRule="auto"/>
        <w:ind w:left="137" w:firstLine="0"/>
        <w:jc w:val="left"/>
      </w:pPr>
      <w:r>
        <w:t xml:space="preserve"> </w:t>
      </w:r>
    </w:p>
    <w:p w14:paraId="3265107A" w14:textId="77777777" w:rsidR="0033411A" w:rsidRDefault="00000000">
      <w:pPr>
        <w:spacing w:after="0"/>
        <w:ind w:left="552" w:hanging="405"/>
      </w:pPr>
      <w:r>
        <w:rPr>
          <w:rFonts w:ascii="Calibri" w:eastAsia="Calibri" w:hAnsi="Calibri" w:cs="Calibri"/>
          <w:noProof/>
          <w:sz w:val="22"/>
        </w:rPr>
        <w:lastRenderedPageBreak/>
        <mc:AlternateContent>
          <mc:Choice Requires="wpg">
            <w:drawing>
              <wp:inline distT="0" distB="0" distL="0" distR="0" wp14:anchorId="2E1CF17C" wp14:editId="2768FE6F">
                <wp:extent cx="48829" cy="48829"/>
                <wp:effectExtent l="0" t="0" r="0" b="0"/>
                <wp:docPr id="3847" name="Group 3847"/>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194" name="Shape 194"/>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5"/>
                                  <a:pt x="31287" y="48648"/>
                                  <a:pt x="24414" y="48829"/>
                                </a:cubicBezTo>
                                <a:cubicBezTo>
                                  <a:pt x="17452" y="48738"/>
                                  <a:pt x="11687" y="46387"/>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47" style="width:3.8448pt;height:3.8448pt;mso-position-horizontal-relative:char;mso-position-vertical-relative:line" coordsize="488,488">
                <v:shape id="Shape 194" style="position:absolute;width:488;height:488;left:0;top:0;" coordsize="48829,48829" path="m24414,0c31287,181,37029,2577,41640,7189c46252,11800,48648,17542,48829,24414c48648,31377,46252,37142,41640,41708c37029,46275,31287,48648,24414,48829c17452,48738,11687,46387,7121,41776c2554,37164,181,31377,0,24414c90,17542,2442,11800,7053,7189c11665,2577,17452,181,24414,0x">
                  <v:stroke weight="0pt" endcap="flat" joinstyle="miter" miterlimit="10" on="false" color="#000000" opacity="0"/>
                  <v:fill on="true" color="#000000"/>
                </v:shape>
              </v:group>
            </w:pict>
          </mc:Fallback>
        </mc:AlternateContent>
      </w:r>
      <w:r>
        <w:t xml:space="preserve"> Evaluamos si las políticas contables aplicadas son adecuadas y la razonabilidad de las estimaciones contables y la correspondiente información revelada por la administradora única.  </w:t>
      </w:r>
    </w:p>
    <w:p w14:paraId="6A35F348" w14:textId="77777777" w:rsidR="0033411A" w:rsidRDefault="00000000">
      <w:pPr>
        <w:spacing w:after="2" w:line="259" w:lineRule="auto"/>
        <w:ind w:left="137" w:firstLine="0"/>
        <w:jc w:val="left"/>
      </w:pPr>
      <w:r>
        <w:t xml:space="preserve"> </w:t>
      </w:r>
    </w:p>
    <w:p w14:paraId="32C2FEA1" w14:textId="77777777" w:rsidR="0033411A" w:rsidRDefault="00000000">
      <w:pPr>
        <w:spacing w:after="0"/>
        <w:ind w:left="552" w:hanging="405"/>
      </w:pPr>
      <w:r>
        <w:rPr>
          <w:rFonts w:ascii="Calibri" w:eastAsia="Calibri" w:hAnsi="Calibri" w:cs="Calibri"/>
          <w:noProof/>
          <w:sz w:val="22"/>
        </w:rPr>
        <mc:AlternateContent>
          <mc:Choice Requires="wpg">
            <w:drawing>
              <wp:inline distT="0" distB="0" distL="0" distR="0" wp14:anchorId="01F5C0BE" wp14:editId="4BEFF963">
                <wp:extent cx="48829" cy="48829"/>
                <wp:effectExtent l="0" t="0" r="0" b="0"/>
                <wp:docPr id="3848" name="Group 3848"/>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201" name="Shape 201"/>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5"/>
                                  <a:pt x="31287" y="48648"/>
                                  <a:pt x="24414" y="48829"/>
                                </a:cubicBezTo>
                                <a:cubicBezTo>
                                  <a:pt x="17452" y="48738"/>
                                  <a:pt x="11687" y="46387"/>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48" style="width:3.8448pt;height:3.8448pt;mso-position-horizontal-relative:char;mso-position-vertical-relative:line" coordsize="488,488">
                <v:shape id="Shape 201" style="position:absolute;width:488;height:488;left:0;top:0;" coordsize="48829,48829" path="m24414,0c31287,181,37029,2577,41640,7189c46252,11800,48648,17542,48829,24414c48648,31377,46252,37142,41640,41708c37029,46275,31287,48648,24414,48829c17452,48738,11687,46387,7121,41776c2554,37164,181,31377,0,24414c90,17542,2442,11800,7053,7189c11665,2577,17452,181,24414,0x">
                  <v:stroke weight="0pt" endcap="flat" joinstyle="miter" miterlimit="10" on="false" color="#000000" opacity="0"/>
                  <v:fill on="true" color="#000000"/>
                </v:shape>
              </v:group>
            </w:pict>
          </mc:Fallback>
        </mc:AlternateContent>
      </w:r>
      <w:r>
        <w:t xml:space="preserve"> Concluimos sobre si es adecuada la utilización, por la administradora única, del principio contable de empresa en funcionamiento y, basándonos en la evidencia de auditoría obtenida, concluimos sobre si existe o no una incertidumbre material relacionada con hechos o con condiciones que pueden generar dudas significativas sobre la capacidad de la Sociedad para continuar como empresa en funcionamiento. Si concluimos que existe una incertidumbre material, se requiere que llamemos la atención en nuestro informe de auditoría sobre la correspondiente información revelada en las cuentas anuales de pymes o, si dichas revelaciones no son adecuadas, que expresemos una opinión modificada. Nuestras conclusiones se basan en la evidencia de auditoría obtenida hasta la fecha de nuestro informe de auditoría. Sin embargo, los hechos o condiciones futuros pueden ser la causa de que la Sociedad deje de ser una empresa en funcionamiento.  </w:t>
      </w:r>
    </w:p>
    <w:p w14:paraId="7DAF286C" w14:textId="77777777" w:rsidR="0033411A" w:rsidRDefault="00000000">
      <w:pPr>
        <w:spacing w:after="2" w:line="259" w:lineRule="auto"/>
        <w:ind w:left="137" w:firstLine="0"/>
        <w:jc w:val="left"/>
      </w:pPr>
      <w:r>
        <w:t xml:space="preserve"> </w:t>
      </w:r>
    </w:p>
    <w:p w14:paraId="43AEB171" w14:textId="77777777" w:rsidR="0033411A" w:rsidRDefault="00000000">
      <w:pPr>
        <w:spacing w:after="0"/>
        <w:ind w:left="552" w:hanging="405"/>
      </w:pPr>
      <w:r>
        <w:rPr>
          <w:rFonts w:ascii="Calibri" w:eastAsia="Calibri" w:hAnsi="Calibri" w:cs="Calibri"/>
          <w:noProof/>
          <w:sz w:val="22"/>
        </w:rPr>
        <mc:AlternateContent>
          <mc:Choice Requires="wpg">
            <w:drawing>
              <wp:inline distT="0" distB="0" distL="0" distR="0" wp14:anchorId="503F25EE" wp14:editId="219EF993">
                <wp:extent cx="48829" cy="48829"/>
                <wp:effectExtent l="0" t="0" r="0" b="0"/>
                <wp:docPr id="3849" name="Group 3849"/>
                <wp:cNvGraphicFramePr/>
                <a:graphic xmlns:a="http://schemas.openxmlformats.org/drawingml/2006/main">
                  <a:graphicData uri="http://schemas.microsoft.com/office/word/2010/wordprocessingGroup">
                    <wpg:wgp>
                      <wpg:cNvGrpSpPr/>
                      <wpg:grpSpPr>
                        <a:xfrm>
                          <a:off x="0" y="0"/>
                          <a:ext cx="48829" cy="48829"/>
                          <a:chOff x="0" y="0"/>
                          <a:chExt cx="48829" cy="48829"/>
                        </a:xfrm>
                      </wpg:grpSpPr>
                      <wps:wsp>
                        <wps:cNvPr id="217" name="Shape 217"/>
                        <wps:cNvSpPr/>
                        <wps:spPr>
                          <a:xfrm>
                            <a:off x="0" y="0"/>
                            <a:ext cx="48829" cy="48829"/>
                          </a:xfrm>
                          <a:custGeom>
                            <a:avLst/>
                            <a:gdLst/>
                            <a:ahLst/>
                            <a:cxnLst/>
                            <a:rect l="0" t="0" r="0" b="0"/>
                            <a:pathLst>
                              <a:path w="48829" h="48829">
                                <a:moveTo>
                                  <a:pt x="24414" y="0"/>
                                </a:moveTo>
                                <a:cubicBezTo>
                                  <a:pt x="31287" y="181"/>
                                  <a:pt x="37029" y="2577"/>
                                  <a:pt x="41640" y="7189"/>
                                </a:cubicBezTo>
                                <a:cubicBezTo>
                                  <a:pt x="46252" y="11800"/>
                                  <a:pt x="48648" y="17542"/>
                                  <a:pt x="48829" y="24414"/>
                                </a:cubicBezTo>
                                <a:cubicBezTo>
                                  <a:pt x="48648" y="31377"/>
                                  <a:pt x="46252" y="37142"/>
                                  <a:pt x="41640" y="41708"/>
                                </a:cubicBezTo>
                                <a:cubicBezTo>
                                  <a:pt x="37029" y="46274"/>
                                  <a:pt x="31287" y="48648"/>
                                  <a:pt x="24414" y="48829"/>
                                </a:cubicBezTo>
                                <a:cubicBezTo>
                                  <a:pt x="17452" y="48738"/>
                                  <a:pt x="11687" y="46387"/>
                                  <a:pt x="7121" y="41776"/>
                                </a:cubicBezTo>
                                <a:cubicBezTo>
                                  <a:pt x="2554" y="37164"/>
                                  <a:pt x="181" y="31377"/>
                                  <a:pt x="0" y="24414"/>
                                </a:cubicBezTo>
                                <a:cubicBezTo>
                                  <a:pt x="90" y="17542"/>
                                  <a:pt x="2442" y="11800"/>
                                  <a:pt x="7053" y="7189"/>
                                </a:cubicBezTo>
                                <a:cubicBezTo>
                                  <a:pt x="11665" y="2577"/>
                                  <a:pt x="17452" y="181"/>
                                  <a:pt x="244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49" style="width:3.8448pt;height:3.84479pt;mso-position-horizontal-relative:char;mso-position-vertical-relative:line" coordsize="488,488">
                <v:shape id="Shape 217" style="position:absolute;width:488;height:488;left:0;top:0;" coordsize="48829,48829" path="m24414,0c31287,181,37029,2577,41640,7189c46252,11800,48648,17542,48829,24414c48648,31377,46252,37142,41640,41708c37029,46274,31287,48648,24414,48829c17452,48738,11687,46387,7121,41776c2554,37164,181,31377,0,24414c90,17542,2442,11800,7053,7189c11665,2577,17452,181,24414,0x">
                  <v:stroke weight="0pt" endcap="flat" joinstyle="miter" miterlimit="10" on="false" color="#000000" opacity="0"/>
                  <v:fill on="true" color="#000000"/>
                </v:shape>
              </v:group>
            </w:pict>
          </mc:Fallback>
        </mc:AlternateContent>
      </w:r>
      <w:r>
        <w:t xml:space="preserve"> Evaluamos la presentación global, la estructura y el contenido de las cuentas anuales de pymes, incluida la información revelada, y si las cuentas anuales de pymes representan las transacciones y hechos subyacentes de un modo que logran expresar la imagen fiel.  </w:t>
      </w:r>
    </w:p>
    <w:p w14:paraId="1FDA1FC8" w14:textId="77777777" w:rsidR="0033411A" w:rsidRDefault="00000000">
      <w:pPr>
        <w:spacing w:after="0" w:line="259" w:lineRule="auto"/>
        <w:ind w:left="0" w:firstLine="0"/>
        <w:jc w:val="left"/>
      </w:pPr>
      <w:r>
        <w:t xml:space="preserve"> </w:t>
      </w:r>
    </w:p>
    <w:p w14:paraId="0E020C6F" w14:textId="77777777" w:rsidR="0033411A" w:rsidRDefault="00000000">
      <w:pPr>
        <w:spacing w:after="0"/>
        <w:ind w:left="-5"/>
      </w:pPr>
      <w:r>
        <w:t xml:space="preserve">Nos comunicamos con la administradora única de la entidad en relación con, entre otras cuestiones, el alcance y el momento de realización de la auditoría planificados y los hallazgos significativos de la auditoría, así como cualquier deficiencia significativa del control interno que identificamos en el transcurso de la auditoría.  </w:t>
      </w:r>
    </w:p>
    <w:p w14:paraId="7FA3AA74" w14:textId="77777777" w:rsidR="0033411A" w:rsidRDefault="00000000">
      <w:pPr>
        <w:spacing w:after="0" w:line="259" w:lineRule="auto"/>
        <w:ind w:left="0" w:firstLine="0"/>
        <w:jc w:val="left"/>
      </w:pPr>
      <w:r>
        <w:t xml:space="preserve"> </w:t>
      </w:r>
    </w:p>
    <w:p w14:paraId="44CF23D2" w14:textId="77777777" w:rsidR="0033411A" w:rsidRDefault="00000000">
      <w:pPr>
        <w:spacing w:after="0"/>
        <w:ind w:left="-5"/>
      </w:pPr>
      <w:r>
        <w:t xml:space="preserve">Entre los riesgos significativos que han sido objeto de comunicación a la administradora única de la entidad, determinamos los que han sido de la mayor significatividad en la auditoría de las cuentas anuales de pymes del periodo actual y que son, en consecuencia, los riesgos considerados más significativos.  </w:t>
      </w:r>
    </w:p>
    <w:p w14:paraId="599DF68B" w14:textId="77777777" w:rsidR="0033411A" w:rsidRDefault="00000000">
      <w:pPr>
        <w:spacing w:after="0" w:line="259" w:lineRule="auto"/>
        <w:ind w:left="0" w:firstLine="0"/>
        <w:jc w:val="left"/>
      </w:pPr>
      <w:r>
        <w:t xml:space="preserve"> </w:t>
      </w:r>
    </w:p>
    <w:p w14:paraId="1C0828BC" w14:textId="77777777" w:rsidR="0033411A" w:rsidRDefault="00000000">
      <w:pPr>
        <w:spacing w:after="162"/>
        <w:ind w:left="-5"/>
      </w:pPr>
      <w:r>
        <w:t xml:space="preserve">Describimos esos riesgos en nuestro informe de auditoría salvo que las disposiciones legales o reglamentarias prohíban revelar públicamente la cuestión.  </w:t>
      </w:r>
    </w:p>
    <w:p w14:paraId="000F7FE7" w14:textId="77777777" w:rsidR="0033411A" w:rsidRDefault="00000000">
      <w:pPr>
        <w:spacing w:after="9"/>
        <w:ind w:left="-5"/>
      </w:pPr>
      <w:proofErr w:type="spellStart"/>
      <w:r>
        <w:t>Netadia</w:t>
      </w:r>
      <w:proofErr w:type="spellEnd"/>
      <w:r>
        <w:t xml:space="preserve"> Europa, S.L.P. </w:t>
      </w:r>
    </w:p>
    <w:p w14:paraId="6DAA7EF5" w14:textId="77777777" w:rsidR="0033411A" w:rsidRDefault="00000000">
      <w:pPr>
        <w:spacing w:after="56" w:line="259" w:lineRule="auto"/>
        <w:ind w:left="-8" w:firstLine="0"/>
        <w:jc w:val="left"/>
      </w:pPr>
      <w:r>
        <w:rPr>
          <w:noProof/>
        </w:rPr>
        <w:drawing>
          <wp:inline distT="0" distB="0" distL="0" distR="0" wp14:anchorId="6AD93545" wp14:editId="29DD931A">
            <wp:extent cx="2066544" cy="1700784"/>
            <wp:effectExtent l="0" t="0" r="0" b="0"/>
            <wp:docPr id="4062" name="Picture 4062"/>
            <wp:cNvGraphicFramePr/>
            <a:graphic xmlns:a="http://schemas.openxmlformats.org/drawingml/2006/main">
              <a:graphicData uri="http://schemas.openxmlformats.org/drawingml/2006/picture">
                <pic:pic xmlns:pic="http://schemas.openxmlformats.org/drawingml/2006/picture">
                  <pic:nvPicPr>
                    <pic:cNvPr id="4062" name="Picture 4062"/>
                    <pic:cNvPicPr/>
                  </pic:nvPicPr>
                  <pic:blipFill>
                    <a:blip r:embed="rId7"/>
                    <a:stretch>
                      <a:fillRect/>
                    </a:stretch>
                  </pic:blipFill>
                  <pic:spPr>
                    <a:xfrm>
                      <a:off x="0" y="0"/>
                      <a:ext cx="2066544" cy="1700784"/>
                    </a:xfrm>
                    <a:prstGeom prst="rect">
                      <a:avLst/>
                    </a:prstGeom>
                  </pic:spPr>
                </pic:pic>
              </a:graphicData>
            </a:graphic>
          </wp:inline>
        </w:drawing>
      </w:r>
    </w:p>
    <w:p w14:paraId="40D56621" w14:textId="77777777" w:rsidR="0033411A" w:rsidRDefault="00000000">
      <w:pPr>
        <w:spacing w:after="9"/>
        <w:ind w:left="-5"/>
      </w:pPr>
      <w:r>
        <w:t xml:space="preserve">Socio auditor, R.O.A.C. N.º 23298  </w:t>
      </w:r>
    </w:p>
    <w:sectPr w:rsidR="0033411A">
      <w:headerReference w:type="even" r:id="rId8"/>
      <w:headerReference w:type="default" r:id="rId9"/>
      <w:footerReference w:type="even" r:id="rId10"/>
      <w:footerReference w:type="default" r:id="rId11"/>
      <w:headerReference w:type="first" r:id="rId12"/>
      <w:footerReference w:type="first" r:id="rId13"/>
      <w:pgSz w:w="11906" w:h="16838"/>
      <w:pgMar w:top="989" w:right="1648" w:bottom="2395" w:left="1656"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29604" w14:textId="77777777" w:rsidR="00057195" w:rsidRDefault="00057195">
      <w:pPr>
        <w:spacing w:after="0" w:line="240" w:lineRule="auto"/>
      </w:pPr>
      <w:r>
        <w:separator/>
      </w:r>
    </w:p>
  </w:endnote>
  <w:endnote w:type="continuationSeparator" w:id="0">
    <w:p w14:paraId="7952FE70" w14:textId="77777777" w:rsidR="00057195" w:rsidRDefault="00057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764B" w14:textId="77777777" w:rsidR="0033411A" w:rsidRDefault="00000000">
    <w:pPr>
      <w:spacing w:after="9" w:line="259" w:lineRule="auto"/>
      <w:ind w:left="30" w:firstLine="0"/>
      <w:jc w:val="center"/>
    </w:pPr>
    <w:r>
      <w:rPr>
        <w:color w:val="C1C1C1"/>
        <w:sz w:val="16"/>
      </w:rPr>
      <w:t xml:space="preserve"> </w:t>
    </w:r>
  </w:p>
  <w:p w14:paraId="08ADFAA2" w14:textId="77777777" w:rsidR="0033411A" w:rsidRDefault="00000000">
    <w:pPr>
      <w:spacing w:after="9" w:line="259" w:lineRule="auto"/>
      <w:ind w:left="0" w:right="13" w:firstLine="0"/>
      <w:jc w:val="center"/>
    </w:pPr>
    <w:proofErr w:type="spellStart"/>
    <w:r>
      <w:rPr>
        <w:color w:val="C1C1C1"/>
        <w:sz w:val="16"/>
      </w:rPr>
      <w:t>Netadia</w:t>
    </w:r>
    <w:proofErr w:type="spellEnd"/>
    <w:r>
      <w:rPr>
        <w:color w:val="C1C1C1"/>
        <w:sz w:val="16"/>
      </w:rPr>
      <w:t xml:space="preserve"> Europa, S.LP.  C.I.F. B91857870 - Inscrita en RM de Sevilla, Tomo 5420, folio 131. hoja SE-90843. </w:t>
    </w:r>
  </w:p>
  <w:p w14:paraId="1574D519" w14:textId="77777777" w:rsidR="0033411A" w:rsidRDefault="00000000">
    <w:pPr>
      <w:spacing w:after="45" w:line="259" w:lineRule="auto"/>
      <w:ind w:left="0" w:right="11" w:firstLine="0"/>
      <w:jc w:val="center"/>
    </w:pPr>
    <w:r>
      <w:rPr>
        <w:color w:val="C1C1C1"/>
        <w:sz w:val="16"/>
      </w:rPr>
      <w:t xml:space="preserve">Inscrita en el Registro Oficial de Auditores de Cuentas con número S-2114. </w:t>
    </w:r>
  </w:p>
  <w:p w14:paraId="3E1FD50F" w14:textId="77777777" w:rsidR="0033411A" w:rsidRDefault="00000000">
    <w:pPr>
      <w:spacing w:after="177" w:line="259" w:lineRule="auto"/>
      <w:ind w:left="0" w:right="7" w:firstLine="0"/>
      <w:jc w:val="right"/>
    </w:pPr>
    <w:r>
      <w:fldChar w:fldCharType="begin"/>
    </w:r>
    <w:r>
      <w:instrText xml:space="preserve"> PAGE   \* MERGEFORMAT </w:instrText>
    </w:r>
    <w:r>
      <w:fldChar w:fldCharType="separate"/>
    </w:r>
    <w:r>
      <w:rPr>
        <w:sz w:val="19"/>
      </w:rPr>
      <w:t>2</w:t>
    </w:r>
    <w:r>
      <w:rPr>
        <w:sz w:val="19"/>
      </w:rPr>
      <w:fldChar w:fldCharType="end"/>
    </w:r>
    <w:r>
      <w:rPr>
        <w:sz w:val="19"/>
      </w:rPr>
      <w:t xml:space="preserve"> </w:t>
    </w:r>
  </w:p>
  <w:p w14:paraId="663D6408" w14:textId="77777777" w:rsidR="0033411A" w:rsidRDefault="00000000">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5973" w14:textId="77777777" w:rsidR="0033411A" w:rsidRDefault="00000000">
    <w:pPr>
      <w:spacing w:after="9" w:line="259" w:lineRule="auto"/>
      <w:ind w:left="30" w:firstLine="0"/>
      <w:jc w:val="center"/>
    </w:pPr>
    <w:r>
      <w:rPr>
        <w:color w:val="C1C1C1"/>
        <w:sz w:val="16"/>
      </w:rPr>
      <w:t xml:space="preserve"> </w:t>
    </w:r>
  </w:p>
  <w:p w14:paraId="4C5F62D3" w14:textId="77777777" w:rsidR="0033411A" w:rsidRDefault="00000000">
    <w:pPr>
      <w:spacing w:after="9" w:line="259" w:lineRule="auto"/>
      <w:ind w:left="0" w:right="13" w:firstLine="0"/>
      <w:jc w:val="center"/>
    </w:pPr>
    <w:proofErr w:type="spellStart"/>
    <w:r>
      <w:rPr>
        <w:color w:val="C1C1C1"/>
        <w:sz w:val="16"/>
      </w:rPr>
      <w:t>Netadia</w:t>
    </w:r>
    <w:proofErr w:type="spellEnd"/>
    <w:r>
      <w:rPr>
        <w:color w:val="C1C1C1"/>
        <w:sz w:val="16"/>
      </w:rPr>
      <w:t xml:space="preserve"> Europa, S.LP.  C.I.F. B91857870 - Inscrita en RM de Sevilla, Tomo 5420, folio 131. hoja SE-90843. </w:t>
    </w:r>
  </w:p>
  <w:p w14:paraId="025F0E86" w14:textId="77777777" w:rsidR="0033411A" w:rsidRDefault="00000000">
    <w:pPr>
      <w:spacing w:after="45" w:line="259" w:lineRule="auto"/>
      <w:ind w:left="0" w:right="11" w:firstLine="0"/>
      <w:jc w:val="center"/>
    </w:pPr>
    <w:r>
      <w:rPr>
        <w:color w:val="C1C1C1"/>
        <w:sz w:val="16"/>
      </w:rPr>
      <w:t xml:space="preserve">Inscrita en el Registro Oficial de Auditores de Cuentas con número S-2114. </w:t>
    </w:r>
  </w:p>
  <w:p w14:paraId="13BCE44D" w14:textId="77777777" w:rsidR="0033411A" w:rsidRDefault="00000000">
    <w:pPr>
      <w:spacing w:after="177" w:line="259" w:lineRule="auto"/>
      <w:ind w:left="0" w:right="7" w:firstLine="0"/>
      <w:jc w:val="right"/>
    </w:pPr>
    <w:r>
      <w:fldChar w:fldCharType="begin"/>
    </w:r>
    <w:r>
      <w:instrText xml:space="preserve"> PAGE   \* MERGEFORMAT </w:instrText>
    </w:r>
    <w:r>
      <w:fldChar w:fldCharType="separate"/>
    </w:r>
    <w:r>
      <w:rPr>
        <w:sz w:val="19"/>
      </w:rPr>
      <w:t>2</w:t>
    </w:r>
    <w:r>
      <w:rPr>
        <w:sz w:val="19"/>
      </w:rPr>
      <w:fldChar w:fldCharType="end"/>
    </w:r>
    <w:r>
      <w:rPr>
        <w:sz w:val="19"/>
      </w:rPr>
      <w:t xml:space="preserve"> </w:t>
    </w:r>
  </w:p>
  <w:p w14:paraId="508F2B9A" w14:textId="77777777" w:rsidR="0033411A" w:rsidRDefault="00000000">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09C9E" w14:textId="77777777" w:rsidR="0033411A" w:rsidRDefault="0033411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D31E" w14:textId="77777777" w:rsidR="00057195" w:rsidRDefault="00057195">
      <w:pPr>
        <w:spacing w:after="0" w:line="240" w:lineRule="auto"/>
      </w:pPr>
      <w:r>
        <w:separator/>
      </w:r>
    </w:p>
  </w:footnote>
  <w:footnote w:type="continuationSeparator" w:id="0">
    <w:p w14:paraId="6965CC64" w14:textId="77777777" w:rsidR="00057195" w:rsidRDefault="00057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8D9AA" w14:textId="77777777" w:rsidR="0033411A" w:rsidRDefault="00000000">
    <w:pPr>
      <w:spacing w:after="0" w:line="259" w:lineRule="auto"/>
      <w:ind w:left="0" w:right="145"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ED0466C" wp14:editId="072A6C96">
              <wp:simplePos x="0" y="0"/>
              <wp:positionH relativeFrom="page">
                <wp:posOffset>1051560</wp:posOffset>
              </wp:positionH>
              <wp:positionV relativeFrom="page">
                <wp:posOffset>626365</wp:posOffset>
              </wp:positionV>
              <wp:extent cx="5341620" cy="743711"/>
              <wp:effectExtent l="0" t="0" r="0" b="0"/>
              <wp:wrapSquare wrapText="bothSides"/>
              <wp:docPr id="4104" name="Group 4104"/>
              <wp:cNvGraphicFramePr/>
              <a:graphic xmlns:a="http://schemas.openxmlformats.org/drawingml/2006/main">
                <a:graphicData uri="http://schemas.microsoft.com/office/word/2010/wordprocessingGroup">
                  <wpg:wgp>
                    <wpg:cNvGrpSpPr/>
                    <wpg:grpSpPr>
                      <a:xfrm>
                        <a:off x="0" y="0"/>
                        <a:ext cx="5341620" cy="743711"/>
                        <a:chOff x="0" y="0"/>
                        <a:chExt cx="5341620" cy="743711"/>
                      </a:xfrm>
                    </wpg:grpSpPr>
                    <pic:pic xmlns:pic="http://schemas.openxmlformats.org/drawingml/2006/picture">
                      <pic:nvPicPr>
                        <pic:cNvPr id="4105" name="Picture 4105"/>
                        <pic:cNvPicPr/>
                      </pic:nvPicPr>
                      <pic:blipFill>
                        <a:blip r:embed="rId1"/>
                        <a:stretch>
                          <a:fillRect/>
                        </a:stretch>
                      </pic:blipFill>
                      <pic:spPr>
                        <a:xfrm>
                          <a:off x="0" y="0"/>
                          <a:ext cx="5341620" cy="310896"/>
                        </a:xfrm>
                        <a:prstGeom prst="rect">
                          <a:avLst/>
                        </a:prstGeom>
                      </pic:spPr>
                    </pic:pic>
                    <pic:pic xmlns:pic="http://schemas.openxmlformats.org/drawingml/2006/picture">
                      <pic:nvPicPr>
                        <pic:cNvPr id="4106" name="Picture 4106"/>
                        <pic:cNvPicPr/>
                      </pic:nvPicPr>
                      <pic:blipFill>
                        <a:blip r:embed="rId2"/>
                        <a:stretch>
                          <a:fillRect/>
                        </a:stretch>
                      </pic:blipFill>
                      <pic:spPr>
                        <a:xfrm>
                          <a:off x="0" y="306324"/>
                          <a:ext cx="5341620" cy="310896"/>
                        </a:xfrm>
                        <a:prstGeom prst="rect">
                          <a:avLst/>
                        </a:prstGeom>
                      </pic:spPr>
                    </pic:pic>
                    <pic:pic xmlns:pic="http://schemas.openxmlformats.org/drawingml/2006/picture">
                      <pic:nvPicPr>
                        <pic:cNvPr id="4107" name="Picture 4107"/>
                        <pic:cNvPicPr/>
                      </pic:nvPicPr>
                      <pic:blipFill>
                        <a:blip r:embed="rId3"/>
                        <a:stretch>
                          <a:fillRect/>
                        </a:stretch>
                      </pic:blipFill>
                      <pic:spPr>
                        <a:xfrm>
                          <a:off x="0" y="612647"/>
                          <a:ext cx="5341620" cy="131064"/>
                        </a:xfrm>
                        <a:prstGeom prst="rect">
                          <a:avLst/>
                        </a:prstGeom>
                      </pic:spPr>
                    </pic:pic>
                  </wpg:wgp>
                </a:graphicData>
              </a:graphic>
            </wp:anchor>
          </w:drawing>
        </mc:Choice>
        <mc:Fallback xmlns:a="http://schemas.openxmlformats.org/drawingml/2006/main">
          <w:pict>
            <v:group id="Group 4104" style="width:420.6pt;height:58.56pt;position:absolute;mso-position-horizontal-relative:page;mso-position-horizontal:absolute;margin-left:82.8pt;mso-position-vertical-relative:page;margin-top:49.3201pt;" coordsize="53416,7437">
              <v:shape id="Picture 4105" style="position:absolute;width:53416;height:3108;left:0;top:0;" filled="f">
                <v:imagedata r:id="rId9"/>
              </v:shape>
              <v:shape id="Picture 4106" style="position:absolute;width:53416;height:3108;left:0;top:3063;" filled="f">
                <v:imagedata r:id="rId10"/>
              </v:shape>
              <v:shape id="Picture 4107" style="position:absolute;width:53416;height:1310;left:0;top:6126;" filled="f">
                <v:imagedata r:id="rId11"/>
              </v:shape>
              <w10:wrap type="squar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8258" w14:textId="77777777" w:rsidR="0033411A" w:rsidRDefault="00000000">
    <w:pPr>
      <w:spacing w:after="0" w:line="259" w:lineRule="auto"/>
      <w:ind w:left="0" w:right="145"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19477AF" wp14:editId="37C0291A">
              <wp:simplePos x="0" y="0"/>
              <wp:positionH relativeFrom="page">
                <wp:posOffset>1051560</wp:posOffset>
              </wp:positionH>
              <wp:positionV relativeFrom="page">
                <wp:posOffset>626365</wp:posOffset>
              </wp:positionV>
              <wp:extent cx="5341620" cy="743711"/>
              <wp:effectExtent l="0" t="0" r="0" b="0"/>
              <wp:wrapSquare wrapText="bothSides"/>
              <wp:docPr id="4073" name="Group 4073"/>
              <wp:cNvGraphicFramePr/>
              <a:graphic xmlns:a="http://schemas.openxmlformats.org/drawingml/2006/main">
                <a:graphicData uri="http://schemas.microsoft.com/office/word/2010/wordprocessingGroup">
                  <wpg:wgp>
                    <wpg:cNvGrpSpPr/>
                    <wpg:grpSpPr>
                      <a:xfrm>
                        <a:off x="0" y="0"/>
                        <a:ext cx="5341620" cy="743711"/>
                        <a:chOff x="0" y="0"/>
                        <a:chExt cx="5341620" cy="743711"/>
                      </a:xfrm>
                    </wpg:grpSpPr>
                    <pic:pic xmlns:pic="http://schemas.openxmlformats.org/drawingml/2006/picture">
                      <pic:nvPicPr>
                        <pic:cNvPr id="4074" name="Picture 4074"/>
                        <pic:cNvPicPr/>
                      </pic:nvPicPr>
                      <pic:blipFill>
                        <a:blip r:embed="rId1"/>
                        <a:stretch>
                          <a:fillRect/>
                        </a:stretch>
                      </pic:blipFill>
                      <pic:spPr>
                        <a:xfrm>
                          <a:off x="0" y="0"/>
                          <a:ext cx="5341620" cy="310896"/>
                        </a:xfrm>
                        <a:prstGeom prst="rect">
                          <a:avLst/>
                        </a:prstGeom>
                      </pic:spPr>
                    </pic:pic>
                    <pic:pic xmlns:pic="http://schemas.openxmlformats.org/drawingml/2006/picture">
                      <pic:nvPicPr>
                        <pic:cNvPr id="4075" name="Picture 4075"/>
                        <pic:cNvPicPr/>
                      </pic:nvPicPr>
                      <pic:blipFill>
                        <a:blip r:embed="rId2"/>
                        <a:stretch>
                          <a:fillRect/>
                        </a:stretch>
                      </pic:blipFill>
                      <pic:spPr>
                        <a:xfrm>
                          <a:off x="0" y="306324"/>
                          <a:ext cx="5341620" cy="310896"/>
                        </a:xfrm>
                        <a:prstGeom prst="rect">
                          <a:avLst/>
                        </a:prstGeom>
                      </pic:spPr>
                    </pic:pic>
                    <pic:pic xmlns:pic="http://schemas.openxmlformats.org/drawingml/2006/picture">
                      <pic:nvPicPr>
                        <pic:cNvPr id="4076" name="Picture 4076"/>
                        <pic:cNvPicPr/>
                      </pic:nvPicPr>
                      <pic:blipFill>
                        <a:blip r:embed="rId3"/>
                        <a:stretch>
                          <a:fillRect/>
                        </a:stretch>
                      </pic:blipFill>
                      <pic:spPr>
                        <a:xfrm>
                          <a:off x="0" y="612647"/>
                          <a:ext cx="5341620" cy="131064"/>
                        </a:xfrm>
                        <a:prstGeom prst="rect">
                          <a:avLst/>
                        </a:prstGeom>
                      </pic:spPr>
                    </pic:pic>
                  </wpg:wgp>
                </a:graphicData>
              </a:graphic>
            </wp:anchor>
          </w:drawing>
        </mc:Choice>
        <mc:Fallback xmlns:a="http://schemas.openxmlformats.org/drawingml/2006/main">
          <w:pict>
            <v:group id="Group 4073" style="width:420.6pt;height:58.56pt;position:absolute;mso-position-horizontal-relative:page;mso-position-horizontal:absolute;margin-left:82.8pt;mso-position-vertical-relative:page;margin-top:49.3201pt;" coordsize="53416,7437">
              <v:shape id="Picture 4074" style="position:absolute;width:53416;height:3108;left:0;top:0;" filled="f">
                <v:imagedata r:id="rId9"/>
              </v:shape>
              <v:shape id="Picture 4075" style="position:absolute;width:53416;height:3108;left:0;top:3063;" filled="f">
                <v:imagedata r:id="rId10"/>
              </v:shape>
              <v:shape id="Picture 4076" style="position:absolute;width:53416;height:1310;left:0;top:6126;" filled="f">
                <v:imagedata r:id="rId11"/>
              </v:shape>
              <w10:wrap type="square"/>
            </v:group>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FB4E" w14:textId="77777777" w:rsidR="0033411A" w:rsidRDefault="0033411A">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11A"/>
    <w:rsid w:val="00057195"/>
    <w:rsid w:val="002035B0"/>
    <w:rsid w:val="0033411A"/>
    <w:rsid w:val="00C5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4CBF"/>
  <w15:docId w15:val="{8D844813-FF34-4DDC-B278-ECF996C5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9" w:lineRule="auto"/>
      <w:ind w:left="10" w:hanging="10"/>
      <w:jc w:val="both"/>
    </w:pPr>
    <w:rPr>
      <w:rFonts w:ascii="Times New Roman" w:eastAsia="Times New Roman" w:hAnsi="Times New Roman" w:cs="Times New Roman"/>
      <w:color w:val="000000"/>
      <w:sz w:val="21"/>
    </w:rPr>
  </w:style>
  <w:style w:type="paragraph" w:styleId="Ttulo1">
    <w:name w:val="heading 1"/>
    <w:next w:val="Normal"/>
    <w:link w:val="Ttulo1Car"/>
    <w:uiPriority w:val="9"/>
    <w:qFormat/>
    <w:pPr>
      <w:keepNext/>
      <w:keepLines/>
      <w:spacing w:after="2" w:line="259" w:lineRule="auto"/>
      <w:ind w:left="2631" w:hanging="10"/>
      <w:outlineLvl w:val="0"/>
    </w:pPr>
    <w:rPr>
      <w:rFonts w:ascii="Times New Roman" w:eastAsia="Times New Roman" w:hAnsi="Times New Roman" w:cs="Times New Roman"/>
      <w:color w:val="60B3C3"/>
      <w:sz w:val="4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60B3C3"/>
      <w:sz w:val="4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jpg"/><Relationship Id="rId11" Type="http://schemas.openxmlformats.org/officeDocument/2006/relationships/image" Target="media/image30.jpg"/><Relationship Id="rId10" Type="http://schemas.openxmlformats.org/officeDocument/2006/relationships/image" Target="media/image2.jpg"/><Relationship Id="rId9"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jpg"/><Relationship Id="rId11" Type="http://schemas.openxmlformats.org/officeDocument/2006/relationships/image" Target="media/image30.jpg"/><Relationship Id="rId10" Type="http://schemas.openxmlformats.org/officeDocument/2006/relationships/image" Target="media/image2.jpg"/><Relationship Id="rId9"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7490</Characters>
  <Application>Microsoft Office Word</Application>
  <DocSecurity>0</DocSecurity>
  <Lines>62</Lines>
  <Paragraphs>17</Paragraphs>
  <ScaleCrop>false</ScaleCrop>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AC y CCAA INFORINTEC - 2025.pdf</dc:title>
  <dc:subject/>
  <dc:creator>FG RNIMO</dc:creator>
  <cp:keywords/>
  <cp:lastModifiedBy>FG RNIMO</cp:lastModifiedBy>
  <cp:revision>2</cp:revision>
  <dcterms:created xsi:type="dcterms:W3CDTF">2026-10-12T17:04:00Z</dcterms:created>
  <dcterms:modified xsi:type="dcterms:W3CDTF">2026-10-12T17:04:00Z</dcterms:modified>
</cp:coreProperties>
</file>